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Kravchecklista — analysverktyg för skolan</w:t>
      </w:r>
    </w:p>
    <w:p>
      <w:r>
        <w:t>Formulerbara krav som en huvudman kan ställa på vilket analys- och statistikverktyg som helst i en upphandling. Kraven är leverantörsneutrala: kopiera in dem i er kravspecifikation och be varje anbudsgivare besvara dem. Varje krav följs av en kort motivering att använda i det interna underlaget.</w:t>
      </w:r>
    </w:p>
    <w:p>
      <w:r>
        <w:rPr>
          <w:sz w:val="18"/>
        </w:rPr>
        <w:t>Från Vklass Analys · product-analys.vklass.net/upphandling · oktober 2026 · Får delas och återanvändas fritt i upphandlingsarbete.</w:t>
      </w:r>
    </w:p>
    <w:p>
      <w:pPr>
        <w:pStyle w:val="Heading2"/>
      </w:pPr>
      <w:r>
        <w:t>1. Behörighetsstyrning per roll</w:t>
      </w:r>
    </w:p>
    <w:p>
      <w:r>
        <w:rPr>
          <w:b/>
        </w:rPr>
        <w:t xml:space="preserve">Krav: </w:t>
      </w:r>
      <w:r>
        <w:t>Tjänsten ska ha behörighetsstyrning per roll där huvudman, rektor, mentor och ämneslärare endast ser den data deras uppdrag kräver. Behörigheten ska upprätthållas i tjänsten (serversidigt), inte enbart genom att gränssnitt döljs.</w:t>
      </w:r>
    </w:p>
    <w:p>
      <w:r>
        <w:rPr>
          <w:b/>
        </w:rPr>
        <w:t xml:space="preserve">Varför: </w:t>
      </w:r>
      <w:r>
        <w:t>Elevdata är känslig. Utan rollstyrning på servernivå kan behörighetsmodellen kringgås — brister i behörighetsstyrning har varit grund för tillsynsbeslut från IMY inom skolsektorn.</w:t>
      </w:r>
    </w:p>
    <w:p>
      <w:pPr>
        <w:pStyle w:val="Heading2"/>
      </w:pPr>
      <w:r>
        <w:t>2. Prickning av små grupper – utanför behörigheten</w:t>
      </w:r>
    </w:p>
    <w:p>
      <w:r>
        <w:rPr>
          <w:b/>
        </w:rPr>
        <w:t xml:space="preserve">Krav: </w:t>
      </w:r>
      <w:r>
        <w:t>Statistik som redovisas utanför användarens egen behörighet – jämförelsegrupper, känsliga bakgrundsvariabler, kartor och enkäter – ska automatiskt undertrycka (pricka) grupper med färre än tio individer, så att enskilda elever inte kan röjas genom små redovisningsgrupper eller genom differensberäkning. Inom den egna behörigheten ska rollen se de elever den redan ansvarar för, och varje öppnad elevlista ska loggas.</w:t>
      </w:r>
    </w:p>
    <w:p>
      <w:r>
        <w:rPr>
          <w:b/>
        </w:rPr>
        <w:t xml:space="preserve">Varför: </w:t>
      </w:r>
      <w:r>
        <w:t>Detta är etablerad svensk statistikpraxis (jämför Skolverkets egen publicering) där den behövs: i jämförelser med grupper man inte ansvarar för. En rektor som inte får se sin egen klass på tio elever kan inte göra sitt arbete. Verktyg utan inbyggd prickning lägger röjanderisken på varje enskild användare.</w:t>
      </w:r>
    </w:p>
    <w:p>
      <w:pPr>
        <w:pStyle w:val="Heading2"/>
      </w:pPr>
      <w:r>
        <w:t>3. Öppna och konfigurerbara early warning-regler</w:t>
      </w:r>
    </w:p>
    <w:p>
      <w:r>
        <w:rPr>
          <w:b/>
        </w:rPr>
        <w:t xml:space="preserve">Krav: </w:t>
      </w:r>
      <w:r>
        <w:t>Om tjänsten innehåller tidiga varningssignaler (early warning) ska reglerna bakom varje signal vara läsbara för huvudmannen och konfigurerbara av huvudmannen. Signaler ska inte bygga på modeller vars viktning inte kan redovisas (dolda riskpoäng om enskilda elever).</w:t>
      </w:r>
    </w:p>
    <w:p>
      <w:r>
        <w:rPr>
          <w:b/>
        </w:rPr>
        <w:t xml:space="preserve">Varför: </w:t>
      </w:r>
      <w:r>
        <w:t>Skolan ska kunna förklara varje flagga för en vårdnadshavare och ta ansvar för regeln bakom den. Forskningen visar dessutom att öppna tröskelregler står sig väl mot komplexa modeller.</w:t>
      </w:r>
    </w:p>
    <w:p>
      <w:pPr>
        <w:pStyle w:val="Heading2"/>
      </w:pPr>
      <w:r>
        <w:t>4. Extern benchmark som öppen data</w:t>
      </w:r>
    </w:p>
    <w:p>
      <w:r>
        <w:rPr>
          <w:b/>
        </w:rPr>
        <w:t xml:space="preserve">Krav: </w:t>
      </w:r>
      <w:r>
        <w:t>Tjänsten ska kunna visa huvudmannens och skolenheternas resultat mot nationell officiell statistik (till exempel Skolverkets statistik per skolenhet, SALSA och Kolada), hämtad som öppen data och uppdaterad när källorna uppdateras.</w:t>
      </w:r>
    </w:p>
    <w:p>
      <w:r>
        <w:rPr>
          <w:b/>
        </w:rPr>
        <w:t xml:space="preserve">Varför: </w:t>
      </w:r>
      <w:r>
        <w:t>Kvalitetsarbetets första fråga är ”mot vad?”. Egen benchmark-mappning i BI-verktyg är ett stort manuellt underhållsåtagande som snabbt blir inaktuellt.</w:t>
      </w:r>
    </w:p>
    <w:p>
      <w:pPr>
        <w:pStyle w:val="Heading2"/>
      </w:pPr>
      <w:r>
        <w:t>5. Stöd för nationella kvalitetssystemets delmål och indikatorer</w:t>
      </w:r>
    </w:p>
    <w:p>
      <w:r>
        <w:rPr>
          <w:b/>
        </w:rPr>
        <w:t xml:space="preserve">Krav: </w:t>
      </w:r>
      <w:r>
        <w:t>Tjänsten ska ha stöd för Skolverkets nationella kvalitetssystem: delmål och indikatorer per skolform, med huvudmannens officiella värden mot riket och export av underlag inför kvalitetsdialogen.</w:t>
      </w:r>
    </w:p>
    <w:p>
      <w:r>
        <w:rPr>
          <w:b/>
        </w:rPr>
        <w:t xml:space="preserve">Varför: </w:t>
      </w:r>
      <w:r>
        <w:t>Kvalitetsdialogerna utgår från kvalitetssystemets delmål och indikatorer. Utan färdig mappning byggs samma indikatorbild manuellt inför varje dialog — ett återkommande arbete som verktyget bör bära.</w:t>
      </w:r>
    </w:p>
    <w:p>
      <w:pPr>
        <w:pStyle w:val="Heading2"/>
      </w:pPr>
      <w:r>
        <w:t>6. Exportloggning</w:t>
      </w:r>
    </w:p>
    <w:p>
      <w:r>
        <w:rPr>
          <w:b/>
        </w:rPr>
        <w:t xml:space="preserve">Krav: </w:t>
      </w:r>
      <w:r>
        <w:t>Uttag och exporter av individnära data ur tjänsten – rapporttabeller, elevlistor och visning av elevers namn – ska loggas med användare, tidpunkt, omfattning och filter, och loggen ska kunna granskas av huvudmannen.</w:t>
      </w:r>
    </w:p>
    <w:p>
      <w:r>
        <w:rPr>
          <w:b/>
        </w:rPr>
        <w:t xml:space="preserve">Varför: </w:t>
      </w:r>
      <w:r>
        <w:t>Spårbarhet vid uttag av elevdata är en central del av ansvarsskyldigheten (artikel 5.2 GDPR) och avgörande vid incidentutredning.</w:t>
      </w:r>
    </w:p>
    <w:p>
      <w:pPr>
        <w:pStyle w:val="Heading2"/>
      </w:pPr>
      <w:r>
        <w:t>7. Svensk eller EU/EES-baserad datalagring</w:t>
      </w:r>
    </w:p>
    <w:p>
      <w:r>
        <w:rPr>
          <w:b/>
        </w:rPr>
        <w:t xml:space="preserve">Krav: </w:t>
      </w:r>
      <w:r>
        <w:t>All lagring av personuppgifter i tjänsten, inklusive säkerhetskopior, ska ske inom EU/EES. Leverantören ska redovisa driftsleverantörer och underleverantörer med land.</w:t>
      </w:r>
    </w:p>
    <w:p>
      <w:r>
        <w:rPr>
          <w:b/>
        </w:rPr>
        <w:t xml:space="preserve">Varför: </w:t>
      </w:r>
      <w:r>
        <w:t>Kravet gör tredjelandsöverföringsanalysen hanterbar och är i praktiken standard i svenska skolupphandlingar sedan Schrems II.</w:t>
      </w:r>
    </w:p>
    <w:p>
      <w:pPr>
        <w:pStyle w:val="Heading2"/>
      </w:pPr>
      <w:r>
        <w:t>8. Stöd för SS 12000</w:t>
      </w:r>
    </w:p>
    <w:p>
      <w:r>
        <w:rPr>
          <w:b/>
        </w:rPr>
        <w:t xml:space="preserve">Krav: </w:t>
      </w:r>
      <w:r>
        <w:t>Leverantören ska stödja informationsutbyte enligt den svenska standarden SS 12000 för skolans administrativa processer, i aktuell version.</w:t>
      </w:r>
    </w:p>
    <w:p>
      <w:r>
        <w:rPr>
          <w:b/>
        </w:rPr>
        <w:t xml:space="preserve">Varför: </w:t>
      </w:r>
      <w:r>
        <w:t>Standarden minskar inlåsning och gör byten och integrationer mellan elevregister, lärplattform och analysverktyg billigare över tid.</w:t>
      </w:r>
    </w:p>
    <w:p>
      <w:pPr>
        <w:pStyle w:val="Heading2"/>
      </w:pPr>
      <w:r>
        <w:t>9. Dokumenterat DPIA-underlag</w:t>
      </w:r>
    </w:p>
    <w:p>
      <w:r>
        <w:rPr>
          <w:b/>
        </w:rPr>
        <w:t xml:space="preserve">Krav: </w:t>
      </w:r>
      <w:r>
        <w:t>Leverantören ska tillhandahålla dokumenterat underlag för huvudmannens konsekvensbedömning (DPIA): behandlingar, dataflöden, lagringstider, underleverantörer och inbyggda skyddsåtgärder.</w:t>
      </w:r>
    </w:p>
    <w:p>
      <w:r>
        <w:rPr>
          <w:b/>
        </w:rPr>
        <w:t xml:space="preserve">Varför: </w:t>
      </w:r>
      <w:r>
        <w:t>Konsekvensbedömningen är huvudmannens ansvar, men utan leverantörsunderlag blir den gissningar. Utebliven DPIA har lett till sanktionsavgift inom skolsektorn.</w:t>
      </w:r>
    </w:p>
    <w:p>
      <w:pPr>
        <w:pStyle w:val="Heading2"/>
      </w:pPr>
      <w:r>
        <w:t>Svarsmatris att bifoga kravspecifikationen</w:t>
      </w:r>
    </w:p>
    <w:p>
      <w:r>
        <w:t>Be varje anbudsgivare besvara kraven i tabellform — uppfylls kravet i befintlig produkt (inte roadmap), och var är det dokumenterat?</w:t>
      </w:r>
    </w:p>
    <w:tbl>
      <w:tblPr>
        <w:tblW w:type="auto" w:w="0"/>
        <w:tblLook w:firstColumn="1" w:firstRow="1" w:lastColumn="0" w:lastRow="0" w:noHBand="0" w:noVBand="1" w:val="04A0"/>
      </w:tblPr>
      <w:tblGrid>
        <w:gridCol w:w="3213"/>
        <w:gridCol w:w="3213"/>
        <w:gridCol w:w="3213"/>
      </w:tblGrid>
      <w:tr>
        <w:tc>
          <w:tcPr>
            <w:tcW w:type="dxa" w:w="3213"/>
          </w:tcPr>
          <w:p>
            <w:r>
              <w:t>Krav</w:t>
            </w:r>
          </w:p>
        </w:tc>
        <w:tc>
          <w:tcPr>
            <w:tcW w:type="dxa" w:w="3213"/>
          </w:tcPr>
          <w:p>
            <w:r>
              <w:t>Uppfylls i befintlig produkt (Ja/Nej)</w:t>
            </w:r>
          </w:p>
        </w:tc>
        <w:tc>
          <w:tcPr>
            <w:tcW w:type="dxa" w:w="3213"/>
          </w:tcPr>
          <w:p>
            <w:r>
              <w:t>Hänvisning till dokumentation</w:t>
            </w:r>
          </w:p>
        </w:tc>
      </w:tr>
      <w:tr>
        <w:tc>
          <w:tcPr>
            <w:tcW w:type="dxa" w:w="3213"/>
          </w:tcPr>
          <w:p>
            <w:r>
              <w:t>1. Behörighetsstyrning per roll</w:t>
            </w:r>
          </w:p>
        </w:tc>
        <w:tc>
          <w:tcPr>
            <w:tcW w:type="dxa" w:w="3213"/>
          </w:tcPr>
          <w:p/>
        </w:tc>
        <w:tc>
          <w:tcPr>
            <w:tcW w:type="dxa" w:w="3213"/>
          </w:tcPr>
          <w:p/>
        </w:tc>
      </w:tr>
      <w:tr>
        <w:tc>
          <w:tcPr>
            <w:tcW w:type="dxa" w:w="3213"/>
          </w:tcPr>
          <w:p>
            <w:r>
              <w:t>2. Prickning av små grupper – utanför behörigheten</w:t>
            </w:r>
          </w:p>
        </w:tc>
        <w:tc>
          <w:tcPr>
            <w:tcW w:type="dxa" w:w="3213"/>
          </w:tcPr>
          <w:p/>
        </w:tc>
        <w:tc>
          <w:tcPr>
            <w:tcW w:type="dxa" w:w="3213"/>
          </w:tcPr>
          <w:p/>
        </w:tc>
      </w:tr>
      <w:tr>
        <w:tc>
          <w:tcPr>
            <w:tcW w:type="dxa" w:w="3213"/>
          </w:tcPr>
          <w:p>
            <w:r>
              <w:t>3. Öppna och konfigurerbara early warning-regler</w:t>
            </w:r>
          </w:p>
        </w:tc>
        <w:tc>
          <w:tcPr>
            <w:tcW w:type="dxa" w:w="3213"/>
          </w:tcPr>
          <w:p/>
        </w:tc>
        <w:tc>
          <w:tcPr>
            <w:tcW w:type="dxa" w:w="3213"/>
          </w:tcPr>
          <w:p/>
        </w:tc>
      </w:tr>
      <w:tr>
        <w:tc>
          <w:tcPr>
            <w:tcW w:type="dxa" w:w="3213"/>
          </w:tcPr>
          <w:p>
            <w:r>
              <w:t>4. Extern benchmark som öppen data</w:t>
            </w:r>
          </w:p>
        </w:tc>
        <w:tc>
          <w:tcPr>
            <w:tcW w:type="dxa" w:w="3213"/>
          </w:tcPr>
          <w:p/>
        </w:tc>
        <w:tc>
          <w:tcPr>
            <w:tcW w:type="dxa" w:w="3213"/>
          </w:tcPr>
          <w:p/>
        </w:tc>
      </w:tr>
      <w:tr>
        <w:tc>
          <w:tcPr>
            <w:tcW w:type="dxa" w:w="3213"/>
          </w:tcPr>
          <w:p>
            <w:r>
              <w:t>5. Stöd för nationella kvalitetssystemets delmål och indikatorer</w:t>
            </w:r>
          </w:p>
        </w:tc>
        <w:tc>
          <w:tcPr>
            <w:tcW w:type="dxa" w:w="3213"/>
          </w:tcPr>
          <w:p/>
        </w:tc>
        <w:tc>
          <w:tcPr>
            <w:tcW w:type="dxa" w:w="3213"/>
          </w:tcPr>
          <w:p/>
        </w:tc>
      </w:tr>
      <w:tr>
        <w:tc>
          <w:tcPr>
            <w:tcW w:type="dxa" w:w="3213"/>
          </w:tcPr>
          <w:p>
            <w:r>
              <w:t>6. Exportloggning</w:t>
            </w:r>
          </w:p>
        </w:tc>
        <w:tc>
          <w:tcPr>
            <w:tcW w:type="dxa" w:w="3213"/>
          </w:tcPr>
          <w:p/>
        </w:tc>
        <w:tc>
          <w:tcPr>
            <w:tcW w:type="dxa" w:w="3213"/>
          </w:tcPr>
          <w:p/>
        </w:tc>
      </w:tr>
      <w:tr>
        <w:tc>
          <w:tcPr>
            <w:tcW w:type="dxa" w:w="3213"/>
          </w:tcPr>
          <w:p>
            <w:r>
              <w:t>7. Svensk eller EU/EES-baserad datalagring</w:t>
            </w:r>
          </w:p>
        </w:tc>
        <w:tc>
          <w:tcPr>
            <w:tcW w:type="dxa" w:w="3213"/>
          </w:tcPr>
          <w:p/>
        </w:tc>
        <w:tc>
          <w:tcPr>
            <w:tcW w:type="dxa" w:w="3213"/>
          </w:tcPr>
          <w:p/>
        </w:tc>
      </w:tr>
      <w:tr>
        <w:tc>
          <w:tcPr>
            <w:tcW w:type="dxa" w:w="3213"/>
          </w:tcPr>
          <w:p>
            <w:r>
              <w:t>8. Stöd för SS 12000</w:t>
            </w:r>
          </w:p>
        </w:tc>
        <w:tc>
          <w:tcPr>
            <w:tcW w:type="dxa" w:w="3213"/>
          </w:tcPr>
          <w:p/>
        </w:tc>
        <w:tc>
          <w:tcPr>
            <w:tcW w:type="dxa" w:w="3213"/>
          </w:tcPr>
          <w:p/>
        </w:tc>
      </w:tr>
      <w:tr>
        <w:tc>
          <w:tcPr>
            <w:tcW w:type="dxa" w:w="3213"/>
          </w:tcPr>
          <w:p>
            <w:r>
              <w:t>9. Dokumenterat DPIA-underlag</w:t>
            </w:r>
          </w:p>
        </w:tc>
        <w:tc>
          <w:tcPr>
            <w:tcW w:type="dxa" w:w="3213"/>
          </w:tcPr>
          <w:p/>
        </w:tc>
        <w:tc>
          <w:tcPr>
            <w:tcW w:type="dxa" w:w="3213"/>
          </w:tcPr>
          <w:p/>
        </w:tc>
      </w:tr>
    </w:tbl>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7EBEC" w:sz="6" w:space="6"/>
      </w:pBdr>
      <w:tabs>
        <w:tab w:val="right" w:pos="9638"/>
      </w:tabs>
    </w:pPr>
    <w:r>
      <w:rPr>
        <w:rFonts w:ascii="Visma Text" w:cs="Visma Text" w:eastAsia="Visma Text" w:hAnsi="Visma Text"/>
        <w:color w:val="5C5C5C"/>
        <w:sz w:val="16"/>
        <w:szCs w:val="16"/>
      </w:rPr>
      <w:t xml:space="preserve">Vklass AB · by Visma · vklass.se</w:t>
    </w:r>
    <w:r>
      <w:rPr>
        <w:rFonts w:ascii="Visma Text" w:cs="Visma Text" w:eastAsia="Visma Text" w:hAnsi="Visma Text"/>
      </w:rPr>
      <w:t xml:space="preserve">	</w:t>
    </w:r>
    <w:r>
      <w:rPr>
        <w:rFonts w:ascii="Visma Text" w:cs="Visma Text" w:eastAsia="Visma Text" w:hAnsi="Visma Text"/>
        <w:color w:val="5C5C5C"/>
        <w:sz w:val="16"/>
        <w:szCs w:val="16"/>
      </w:rPr>
      <w:t xml:space="preserve">Sida </w:t>
    </w:r>
    <w:r>
      <w:rPr>
        <w:rFonts w:ascii="Visma Text" w:cs="Visma Text" w:eastAsia="Visma Text" w:hAnsi="Visma Text"/>
        <w:color w:val="5C5C5C"/>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40"/>
    </w:pPr>
    <w:r>
      <w:drawing>
        <wp:inline distT="0" distB="0" distL="0" distR="0">
          <wp:extent cx="1571625" cy="381000"/>
          <wp:effectExtent t="0" r="0" b="0" l="0"/>
          <wp:docPr id="1" name="logo" descr="Vklass by Visma logotyp" title="Vklass by Vis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571625" cy="381000"/>
                  </a:xfrm>
                  <a:prstGeom prst="rect">
                    <a:avLst/>
                  </a:prstGeom>
                </pic:spPr>
              </pic:pic>
            </a:graphicData>
          </a:graphic>
        </wp:inline>
      </w:drawing>
    </w:r>
  </w:p>
  <w:p>
    <w:pPr>
      <w:pBdr>
        <w:bottom w:val="single" w:color="26418F" w:sz="18" w:space="2"/>
      </w:pBdr>
      <w:spacing w:after="120"/>
    </w:pPr>
    <w: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80" w:hanging="280"/>
      </w:pPr>
      <w:rPr>
        <w:color w:val="26418F"/>
      </w:rPr>
    </w:lvl>
  </w:abstractNum>
  <w:abstractNum w:abstractNumId="3" w15:restartNumberingAfterBreak="0">
    <w:multiLevelType w:val="hybridMultilevel"/>
    <w:lvl w:ilvl="0" w15:tentative="1">
      <w:start w:val="1"/>
      <w:numFmt w:val="decimal"/>
      <w:lvlText w:val="%1."/>
      <w:lvlJc w:val="left"/>
      <w:pPr>
        <w:ind w:left="48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isma Text" w:cs="Visma Text" w:eastAsia="Visma Text" w:hAnsi="Visma Text"/>
        <w:color w:val="131313"/>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60" w:before="60"/>
      <w:outlineLvl w:val="0"/>
    </w:pPr>
    <w:rPr>
      <w:rFonts w:ascii="Visma Display SemiBold" w:cs="Visma Display SemiBold" w:eastAsia="Visma Display SemiBold" w:hAnsi="Visma Display SemiBold"/>
      <w:b/>
      <w:bCs/>
      <w:color w:val="26418F"/>
      <w:sz w:val="40"/>
      <w:szCs w:val="40"/>
    </w:rPr>
  </w:style>
  <w:style w:type="paragraph" w:styleId="Heading2">
    <w:name w:val="Heading 2"/>
    <w:basedOn w:val="Normal"/>
    <w:next w:val="Normal"/>
    <w:qFormat/>
    <w:pPr>
      <w:spacing w:after="80" w:before="240"/>
      <w:outlineLvl w:val="1"/>
    </w:pPr>
    <w:rPr>
      <w:rFonts w:ascii="Visma Text SemiBold" w:cs="Visma Text SemiBold" w:eastAsia="Visma Text SemiBold" w:hAnsi="Visma Text SemiBold"/>
      <w:b/>
      <w:bCs/>
      <w:color w:val="131313"/>
      <w:sz w:val="26"/>
      <w:szCs w:val="26"/>
    </w:rPr>
  </w:style>
  <w:style w:type="paragraph" w:styleId="Heading3">
    <w:name w:val="Heading 3"/>
    <w:basedOn w:val="Normal"/>
    <w:next w:val="Normal"/>
    <w:qFormat/>
    <w:pPr>
      <w:spacing w:after="60" w:before="160"/>
      <w:outlineLvl w:val="2"/>
    </w:pPr>
    <w:rPr>
      <w:rFonts w:ascii="Visma Text SemiBold" w:cs="Visma Text SemiBold" w:eastAsia="Visma Text SemiBold" w:hAnsi="Visma Text SemiBold"/>
      <w:b/>
      <w:bCs/>
      <w:color w:val="182A5D"/>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0" Type="http://schemas.openxmlformats.org/officeDocument/2006/relationships/image" Target="media/49cc98f5c4cd3434c7ed38eab8b85527f7f70f51.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2026-06-25T18:10:26.214Z</dcterms:created>
  <dcterms:modified xsi:type="dcterms:W3CDTF">2026-06-25T18:10:26.214Z</dcterms:modified>
</cp:coreProperties>
</file>

<file path=docProps/custom.xml><?xml version="1.0" encoding="utf-8"?>
<Properties xmlns="http://schemas.openxmlformats.org/officeDocument/2006/custom-properties" xmlns:vt="http://schemas.openxmlformats.org/officeDocument/2006/docPropsVTypes"/>
</file>